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D209C" w14:textId="14C35CDC" w:rsidR="00AE1B83" w:rsidRPr="00AE1B83" w:rsidRDefault="00AE1B83" w:rsidP="00AE1B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1B83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0EEA9B1" w14:textId="77777777" w:rsidR="00895576" w:rsidRPr="00AE1B83" w:rsidRDefault="00895576" w:rsidP="00AE1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B83">
        <w:rPr>
          <w:rFonts w:ascii="Times New Roman" w:hAnsi="Times New Roman" w:cs="Times New Roman"/>
          <w:sz w:val="28"/>
          <w:szCs w:val="28"/>
        </w:rPr>
        <w:t>Информация о выполнении муниципального плана мероприятий («дорожной карты»)</w:t>
      </w:r>
    </w:p>
    <w:p w14:paraId="6D17EB55" w14:textId="4043ED28" w:rsidR="000365E8" w:rsidRDefault="00895576" w:rsidP="00AE1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B83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на рынках товаров, работ и услуг </w:t>
      </w:r>
      <w:r w:rsidR="00164F82" w:rsidRPr="00AE1B83">
        <w:rPr>
          <w:rFonts w:ascii="Times New Roman" w:hAnsi="Times New Roman" w:cs="Times New Roman"/>
          <w:sz w:val="28"/>
          <w:szCs w:val="28"/>
        </w:rPr>
        <w:t>Алейского район</w:t>
      </w:r>
      <w:r w:rsidR="00AE1B83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49"/>
        <w:gridCol w:w="2208"/>
        <w:gridCol w:w="2060"/>
        <w:gridCol w:w="1127"/>
        <w:gridCol w:w="1127"/>
        <w:gridCol w:w="1285"/>
        <w:gridCol w:w="1437"/>
        <w:gridCol w:w="1499"/>
        <w:gridCol w:w="1886"/>
      </w:tblGrid>
      <w:tr w:rsidR="00702E9F" w:rsidRPr="007B2F20" w14:paraId="2DC28E28" w14:textId="77777777" w:rsidTr="001A3078">
        <w:trPr>
          <w:trHeight w:val="292"/>
          <w:jc w:val="center"/>
        </w:trPr>
        <w:tc>
          <w:tcPr>
            <w:tcW w:w="146" w:type="pct"/>
            <w:vMerge w:val="restart"/>
          </w:tcPr>
          <w:p w14:paraId="6434F1FC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5" w:type="pct"/>
            <w:vMerge w:val="restart"/>
          </w:tcPr>
          <w:p w14:paraId="5E34467C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ятия «дорожной карты»</w:t>
            </w:r>
          </w:p>
        </w:tc>
        <w:tc>
          <w:tcPr>
            <w:tcW w:w="706" w:type="pct"/>
            <w:vMerge w:val="restart"/>
          </w:tcPr>
          <w:p w14:paraId="1680D924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резул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тат выполнения м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роприятия (по сост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янию на 01.01.2024) (описание)</w:t>
            </w:r>
          </w:p>
        </w:tc>
        <w:tc>
          <w:tcPr>
            <w:tcW w:w="659" w:type="pct"/>
            <w:vMerge w:val="restart"/>
          </w:tcPr>
          <w:p w14:paraId="6817089A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левого показателя</w:t>
            </w:r>
          </w:p>
          <w:p w14:paraId="56B1E392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pct"/>
            <w:gridSpan w:val="4"/>
          </w:tcPr>
          <w:p w14:paraId="017439E6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479" w:type="pct"/>
            <w:vMerge w:val="restart"/>
          </w:tcPr>
          <w:p w14:paraId="62DDE892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ный испо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нитель и с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603" w:type="pct"/>
            <w:vMerge w:val="restart"/>
          </w:tcPr>
          <w:p w14:paraId="763015D5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зультаты</w:t>
            </w:r>
          </w:p>
        </w:tc>
      </w:tr>
      <w:tr w:rsidR="001A3078" w:rsidRPr="007B2F20" w14:paraId="09D45239" w14:textId="77777777" w:rsidTr="001A3078">
        <w:trPr>
          <w:trHeight w:val="757"/>
          <w:jc w:val="center"/>
        </w:trPr>
        <w:tc>
          <w:tcPr>
            <w:tcW w:w="146" w:type="pct"/>
            <w:vMerge/>
          </w:tcPr>
          <w:p w14:paraId="1BD45F16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3D509E91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58DFF6C4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230AB218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14:paraId="6C5F03FB" w14:textId="26F595E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Исходное значение показат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  <w:r w:rsidRPr="007B2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(2022 год)</w:t>
            </w:r>
          </w:p>
        </w:tc>
        <w:tc>
          <w:tcPr>
            <w:tcW w:w="360" w:type="pct"/>
          </w:tcPr>
          <w:p w14:paraId="1428960B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 показат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ля (2023 год)</w:t>
            </w:r>
          </w:p>
        </w:tc>
        <w:tc>
          <w:tcPr>
            <w:tcW w:w="411" w:type="pct"/>
          </w:tcPr>
          <w:p w14:paraId="7410E029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Фактич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ское знач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ние пок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зателя (2023 год)</w:t>
            </w:r>
          </w:p>
        </w:tc>
        <w:tc>
          <w:tcPr>
            <w:tcW w:w="460" w:type="pct"/>
          </w:tcPr>
          <w:p w14:paraId="46747FA1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данных, м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тодика ра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чета показ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479" w:type="pct"/>
            <w:vMerge/>
          </w:tcPr>
          <w:p w14:paraId="7E510B57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062D103B" w14:textId="77777777" w:rsidR="00AE1B83" w:rsidRPr="00AE1B83" w:rsidRDefault="00AE1B83" w:rsidP="00AE1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8" w:rsidRPr="007B2F20" w14:paraId="4E1F431D" w14:textId="77777777" w:rsidTr="001A3078">
        <w:trPr>
          <w:trHeight w:val="757"/>
          <w:jc w:val="center"/>
        </w:trPr>
        <w:tc>
          <w:tcPr>
            <w:tcW w:w="146" w:type="pct"/>
          </w:tcPr>
          <w:p w14:paraId="3162FD52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3D9CF78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субсидий, направленных на по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держку производства 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лока</w:t>
            </w:r>
          </w:p>
        </w:tc>
        <w:tc>
          <w:tcPr>
            <w:tcW w:w="706" w:type="pct"/>
          </w:tcPr>
          <w:p w14:paraId="49CFB2A1" w14:textId="09CEC8A1" w:rsidR="007B2F20" w:rsidRPr="00AE1B83" w:rsidRDefault="007B2F20" w:rsidP="007B2F2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Наблюдается незнач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тельный рост объема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объем производства молока в хозяйствах всех категорий</w:t>
            </w:r>
          </w:p>
        </w:tc>
        <w:tc>
          <w:tcPr>
            <w:tcW w:w="659" w:type="pct"/>
          </w:tcPr>
          <w:p w14:paraId="4004AF1E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360" w:type="pct"/>
          </w:tcPr>
          <w:p w14:paraId="0EBEE991" w14:textId="50FA5C5A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18,6</w:t>
            </w:r>
          </w:p>
        </w:tc>
        <w:tc>
          <w:tcPr>
            <w:tcW w:w="360" w:type="pct"/>
          </w:tcPr>
          <w:p w14:paraId="4D13271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411" w:type="pct"/>
          </w:tcPr>
          <w:p w14:paraId="72CF2E70" w14:textId="5816B824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460" w:type="pct"/>
          </w:tcPr>
          <w:p w14:paraId="1135686A" w14:textId="5D1E2945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48F3695F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Комитет по сельскому хозяйству</w:t>
            </w:r>
          </w:p>
        </w:tc>
        <w:tc>
          <w:tcPr>
            <w:tcW w:w="603" w:type="pct"/>
          </w:tcPr>
          <w:p w14:paraId="3D1E4A9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создание условий, стимулирующих развитие молочн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го скотоводства</w:t>
            </w:r>
          </w:p>
        </w:tc>
      </w:tr>
      <w:tr w:rsidR="001A3078" w:rsidRPr="007B2F20" w14:paraId="498BD8F0" w14:textId="77777777" w:rsidTr="001A3078">
        <w:trPr>
          <w:trHeight w:val="757"/>
          <w:jc w:val="center"/>
        </w:trPr>
        <w:tc>
          <w:tcPr>
            <w:tcW w:w="146" w:type="pct"/>
          </w:tcPr>
          <w:p w14:paraId="205E905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66D44D8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</w:t>
            </w:r>
            <w:proofErr w:type="spell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хозтоваропроизводителям</w:t>
            </w:r>
            <w:proofErr w:type="spell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получении су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сидий, направленных на предоставление госуда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</w:t>
            </w: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крестьянских (фермерских) хозяйств и сельскохозяйственных потребительских коопер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тивов, в том числе в целях развития молочного ск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товодства</w:t>
            </w:r>
          </w:p>
        </w:tc>
        <w:tc>
          <w:tcPr>
            <w:tcW w:w="706" w:type="pct"/>
          </w:tcPr>
          <w:p w14:paraId="79AEC114" w14:textId="5CF36E0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Обеспечение досту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ности мер госпо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659" w:type="pct"/>
          </w:tcPr>
          <w:p w14:paraId="40320D5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количество субъе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тов малого и средн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го предпринимател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ства в сфере агр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промышленного комплекса, пол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чивших поддержку, в том числе в резул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тате предоставления услуг, оказанных центрами компете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ций в сфере сельск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хозяйственной 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операции и по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держки фермеров, единиц</w:t>
            </w:r>
          </w:p>
        </w:tc>
        <w:tc>
          <w:tcPr>
            <w:tcW w:w="360" w:type="pct"/>
          </w:tcPr>
          <w:p w14:paraId="5B365377" w14:textId="34BDA439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14:paraId="4E2CD10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14:paraId="285CAAE1" w14:textId="3124E268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60" w:type="pct"/>
          </w:tcPr>
          <w:p w14:paraId="06143456" w14:textId="69222AE2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50287C5E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Комитет по сельскому хозяйству</w:t>
            </w:r>
          </w:p>
        </w:tc>
        <w:tc>
          <w:tcPr>
            <w:tcW w:w="603" w:type="pct"/>
          </w:tcPr>
          <w:p w14:paraId="3C37F3A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создание стимулов для развития ж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вотноводства в малых формах 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зяйствования</w:t>
            </w:r>
          </w:p>
        </w:tc>
      </w:tr>
      <w:tr w:rsidR="001A3078" w:rsidRPr="007B2F20" w14:paraId="4FDEBEDE" w14:textId="77777777" w:rsidTr="001A3078">
        <w:trPr>
          <w:trHeight w:val="757"/>
          <w:jc w:val="center"/>
        </w:trPr>
        <w:tc>
          <w:tcPr>
            <w:tcW w:w="146" w:type="pct"/>
          </w:tcPr>
          <w:p w14:paraId="150E45A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5F93090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Мониторинг и контроль заключенных договоров между производителями молока и переработчиками</w:t>
            </w:r>
          </w:p>
        </w:tc>
        <w:tc>
          <w:tcPr>
            <w:tcW w:w="706" w:type="pct"/>
          </w:tcPr>
          <w:p w14:paraId="26CE714B" w14:textId="01D0DC76" w:rsidR="007B2F20" w:rsidRPr="00AE1B83" w:rsidRDefault="007B2F20" w:rsidP="007B2F2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Налаживание устойч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вых связей между производителями м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лока и переработчик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659" w:type="pct"/>
          </w:tcPr>
          <w:p w14:paraId="58DD079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количество закл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ченных договоров, единиц</w:t>
            </w:r>
          </w:p>
        </w:tc>
        <w:tc>
          <w:tcPr>
            <w:tcW w:w="360" w:type="pct"/>
          </w:tcPr>
          <w:p w14:paraId="3279E2CF" w14:textId="3D7B0D65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60" w:type="pct"/>
          </w:tcPr>
          <w:p w14:paraId="08FEF1B3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4</w:t>
            </w:r>
          </w:p>
        </w:tc>
        <w:tc>
          <w:tcPr>
            <w:tcW w:w="411" w:type="pct"/>
          </w:tcPr>
          <w:p w14:paraId="378B12FB" w14:textId="369C2119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60" w:type="pct"/>
          </w:tcPr>
          <w:p w14:paraId="6D63EE70" w14:textId="5ED412BE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2DBF34E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сельскому хозяйству </w:t>
            </w:r>
          </w:p>
        </w:tc>
        <w:tc>
          <w:tcPr>
            <w:tcW w:w="603" w:type="pct"/>
          </w:tcPr>
          <w:p w14:paraId="1B5E33DA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налаживание устойчивых связей между производ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телями молока и переработчиками</w:t>
            </w:r>
          </w:p>
          <w:p w14:paraId="07F7FE2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E9F" w:rsidRPr="007B2F20" w14:paraId="373F0B8F" w14:textId="77777777" w:rsidTr="001A3078">
        <w:trPr>
          <w:trHeight w:val="757"/>
          <w:jc w:val="center"/>
        </w:trPr>
        <w:tc>
          <w:tcPr>
            <w:tcW w:w="146" w:type="pct"/>
          </w:tcPr>
          <w:p w14:paraId="2F4D1F2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3CB18A4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опросов населения района в целях определения спр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са/потребности в разм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щении нестационарных торговых объектов</w:t>
            </w:r>
          </w:p>
        </w:tc>
        <w:tc>
          <w:tcPr>
            <w:tcW w:w="706" w:type="pct"/>
            <w:vMerge w:val="restart"/>
          </w:tcPr>
          <w:p w14:paraId="2436CB2E" w14:textId="77777777" w:rsidR="007B2F20" w:rsidRDefault="00702E9F" w:rsidP="00702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Проведен опрос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населния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схема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мещения НТО акту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лизирована.</w:t>
            </w:r>
          </w:p>
          <w:p w14:paraId="02121DC9" w14:textId="7F2F1BB1" w:rsidR="00702E9F" w:rsidRPr="00AE1B83" w:rsidRDefault="00702E9F" w:rsidP="00702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Размещение информ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ционных материалов в сети «Интернет»</w:t>
            </w:r>
          </w:p>
        </w:tc>
        <w:tc>
          <w:tcPr>
            <w:tcW w:w="659" w:type="pct"/>
            <w:vMerge w:val="restart"/>
          </w:tcPr>
          <w:p w14:paraId="0C0D5BA6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нестац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онарных торговых объектов, единиц.</w:t>
            </w:r>
          </w:p>
        </w:tc>
        <w:tc>
          <w:tcPr>
            <w:tcW w:w="360" w:type="pct"/>
            <w:vMerge w:val="restart"/>
          </w:tcPr>
          <w:p w14:paraId="7781A88D" w14:textId="64BBEFE9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60" w:type="pct"/>
            <w:vMerge w:val="restart"/>
          </w:tcPr>
          <w:p w14:paraId="442C115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11" w:type="pct"/>
            <w:vMerge w:val="restart"/>
          </w:tcPr>
          <w:p w14:paraId="69A2F9EB" w14:textId="3D1CE47E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60" w:type="pct"/>
            <w:vMerge w:val="restart"/>
          </w:tcPr>
          <w:p w14:paraId="2C5AA41C" w14:textId="08DFD96B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  <w:vMerge w:val="restart"/>
          </w:tcPr>
          <w:p w14:paraId="2C5683B1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</w:t>
            </w:r>
          </w:p>
        </w:tc>
        <w:tc>
          <w:tcPr>
            <w:tcW w:w="603" w:type="pct"/>
            <w:vMerge w:val="restart"/>
          </w:tcPr>
          <w:p w14:paraId="0E06D5A6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сти субъектов предпринимател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и потребит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лей о проводимых мероприятиях</w:t>
            </w:r>
          </w:p>
        </w:tc>
      </w:tr>
      <w:tr w:rsidR="00702E9F" w:rsidRPr="007B2F20" w14:paraId="629F1CB4" w14:textId="77777777" w:rsidTr="001A3078">
        <w:trPr>
          <w:trHeight w:val="757"/>
          <w:jc w:val="center"/>
        </w:trPr>
        <w:tc>
          <w:tcPr>
            <w:tcW w:w="146" w:type="pct"/>
          </w:tcPr>
          <w:p w14:paraId="08AB470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2DD024A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Подготовка в соответствии с предложениями ОМСУ изменений в порядок ра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работки и утверждения схем размещения нестац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онарных торговых объе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тов на территории мун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ципальных образований (расширение перечня об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ектов)</w:t>
            </w:r>
          </w:p>
        </w:tc>
        <w:tc>
          <w:tcPr>
            <w:tcW w:w="706" w:type="pct"/>
            <w:vMerge/>
          </w:tcPr>
          <w:p w14:paraId="251B8126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2B365E2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5FC6E5B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6C679EB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E41526F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0B0458C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40CD6AD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23893AB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E9F" w:rsidRPr="007B2F20" w14:paraId="78E359C2" w14:textId="77777777" w:rsidTr="001A3078">
        <w:trPr>
          <w:trHeight w:val="757"/>
          <w:jc w:val="center"/>
        </w:trPr>
        <w:tc>
          <w:tcPr>
            <w:tcW w:w="146" w:type="pct"/>
          </w:tcPr>
          <w:p w14:paraId="0D1D208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317492B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Утверждение ОМСУ акт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ализированной схемы ра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мещения нестационарных торговых объектов</w:t>
            </w:r>
          </w:p>
        </w:tc>
        <w:tc>
          <w:tcPr>
            <w:tcW w:w="706" w:type="pct"/>
            <w:vMerge/>
          </w:tcPr>
          <w:p w14:paraId="602C28A7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192069C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0B86F2B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53199D16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8AC2997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1FC43C1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46429EC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04D19F92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E9F" w:rsidRPr="007B2F20" w14:paraId="761C0CF2" w14:textId="77777777" w:rsidTr="001A3078">
        <w:trPr>
          <w:trHeight w:val="757"/>
          <w:jc w:val="center"/>
        </w:trPr>
        <w:tc>
          <w:tcPr>
            <w:tcW w:w="146" w:type="pct"/>
          </w:tcPr>
          <w:p w14:paraId="44F770BF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63AD203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 целью определения адм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нистративных барьеров, экономических огранич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ний, иных факторов, я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ляющихся барьерами вх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да на рынок (выхода с рынка), и их устранение, проведение совещаний в режиме видеоконфере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цсвязи причастными в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домствами</w:t>
            </w:r>
          </w:p>
        </w:tc>
        <w:tc>
          <w:tcPr>
            <w:tcW w:w="706" w:type="pct"/>
            <w:vMerge/>
          </w:tcPr>
          <w:p w14:paraId="03BA774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237E1A8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37CCC167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452458C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E6E5AEE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0AA31C61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2E84666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2858EA2A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8" w:rsidRPr="007B2F20" w14:paraId="153075B7" w14:textId="77777777" w:rsidTr="001A3078">
        <w:trPr>
          <w:trHeight w:val="757"/>
          <w:jc w:val="center"/>
        </w:trPr>
        <w:tc>
          <w:tcPr>
            <w:tcW w:w="146" w:type="pct"/>
          </w:tcPr>
          <w:p w14:paraId="2D2988E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2D7558B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Актуализация схем ра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мещения рекламных ко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струкций</w:t>
            </w:r>
          </w:p>
        </w:tc>
        <w:tc>
          <w:tcPr>
            <w:tcW w:w="706" w:type="pct"/>
          </w:tcPr>
          <w:p w14:paraId="09DA1032" w14:textId="300CBC73" w:rsidR="007B2F20" w:rsidRPr="00AE1B83" w:rsidRDefault="00702E9F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Администр</w:t>
            </w:r>
            <w:r w:rsidRPr="00702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02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Алейского района</w:t>
            </w:r>
          </w:p>
        </w:tc>
        <w:tc>
          <w:tcPr>
            <w:tcW w:w="659" w:type="pct"/>
            <w:vMerge w:val="restart"/>
          </w:tcPr>
          <w:p w14:paraId="0DAC173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в сфере наружной рекламы, процентов</w:t>
            </w:r>
          </w:p>
        </w:tc>
        <w:tc>
          <w:tcPr>
            <w:tcW w:w="360" w:type="pct"/>
            <w:vMerge w:val="restart"/>
          </w:tcPr>
          <w:p w14:paraId="1E039D02" w14:textId="4778CDF0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14:paraId="0BAB0B27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  <w:vMerge w:val="restart"/>
          </w:tcPr>
          <w:p w14:paraId="3BD79E33" w14:textId="44A8D515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14:paraId="59DCEBDC" w14:textId="0EA4A1E9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  <w:vMerge w:val="restart"/>
          </w:tcPr>
          <w:p w14:paraId="0B512EE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</w:tcPr>
          <w:p w14:paraId="44809DBF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открытый доступ для хозяйству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щих субъектов</w:t>
            </w:r>
          </w:p>
        </w:tc>
      </w:tr>
      <w:tr w:rsidR="001A3078" w:rsidRPr="007B2F20" w14:paraId="348F6D9F" w14:textId="77777777" w:rsidTr="001A3078">
        <w:trPr>
          <w:trHeight w:val="757"/>
          <w:jc w:val="center"/>
        </w:trPr>
        <w:tc>
          <w:tcPr>
            <w:tcW w:w="146" w:type="pct"/>
          </w:tcPr>
          <w:p w14:paraId="7F20B256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24668AA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сайтах ОМСУ пере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ня всех нормативных пр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вовых актов и местных локальных актов, регул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рующих сферу наружной рекламы</w:t>
            </w:r>
          </w:p>
        </w:tc>
        <w:tc>
          <w:tcPr>
            <w:tcW w:w="706" w:type="pct"/>
          </w:tcPr>
          <w:p w14:paraId="0CE2C506" w14:textId="6693C3CE" w:rsidR="007B2F20" w:rsidRPr="00AE1B83" w:rsidRDefault="00702E9F" w:rsidP="0070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На сайте Администр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ции Алейского района созданы разделы - «Градостроительство» </w:t>
            </w:r>
            <w:hyperlink r:id="rId7" w:history="1">
              <w:r w:rsidRPr="008D1F0D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https://aladm.ru/pages/594</w:t>
              </w:r>
            </w:hyperlink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Муниципальные услуги </w:t>
            </w:r>
            <w:hyperlink r:id="rId8" w:history="1">
              <w:r w:rsidRPr="008D1F0D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https://aladm.ru/pages/289</w:t>
              </w:r>
            </w:hyperlink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Схемы размещения 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рекламных констру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9" w:history="1">
              <w:r w:rsidRPr="008D1F0D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https://aladm.ru/pages/1054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и эк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плуатация рекламных конструкций на терр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тории Алейского ра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она осуществляется на основании Схемы ра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мещения рекламных конструкций на терр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тории муниципального образования </w:t>
            </w:r>
            <w:proofErr w:type="spellStart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Алейский</w:t>
            </w:r>
            <w:proofErr w:type="spellEnd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Алтайского края, утвержденной постановлением С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гласного администр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тивному регламенту предоставления мун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ципальной услуги "Выдача разрешения на установку и экспл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атацию рекламной конструкции" основ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нием для получения муниципальной услуги является заявление, направленное в Адм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нистрацию района.</w:t>
            </w:r>
            <w:proofErr w:type="gramEnd"/>
          </w:p>
        </w:tc>
        <w:tc>
          <w:tcPr>
            <w:tcW w:w="659" w:type="pct"/>
            <w:vMerge/>
          </w:tcPr>
          <w:p w14:paraId="72AD372A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7A2A4B1A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4390269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C2582B1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1613823E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05783202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6F23340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сти хозяйству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щих субъектов о размещении 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кламных ко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струкций</w:t>
            </w:r>
          </w:p>
        </w:tc>
      </w:tr>
      <w:tr w:rsidR="001A3078" w:rsidRPr="007B2F20" w14:paraId="1EC93AF3" w14:textId="77777777" w:rsidTr="001A3078">
        <w:trPr>
          <w:trHeight w:val="757"/>
          <w:jc w:val="center"/>
        </w:trPr>
        <w:tc>
          <w:tcPr>
            <w:tcW w:w="146" w:type="pct"/>
          </w:tcPr>
          <w:p w14:paraId="7D6D4373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63C1990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ние демонтажа незако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рекламных констру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ций, внедрение совреме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и инновационных 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кламных систем</w:t>
            </w:r>
          </w:p>
        </w:tc>
        <w:tc>
          <w:tcPr>
            <w:tcW w:w="706" w:type="pct"/>
          </w:tcPr>
          <w:p w14:paraId="15194E62" w14:textId="23DC8BA9" w:rsidR="007B2F20" w:rsidRPr="00AE1B83" w:rsidRDefault="00702E9F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Фактов размещения незаконных рекла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ных конструкций в отчетном году на те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ритории МО </w:t>
            </w:r>
            <w:proofErr w:type="spellStart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>Алейский</w:t>
            </w:r>
            <w:proofErr w:type="spellEnd"/>
            <w:r w:rsidRPr="00702E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не выявлено.</w:t>
            </w:r>
          </w:p>
        </w:tc>
        <w:tc>
          <w:tcPr>
            <w:tcW w:w="659" w:type="pct"/>
            <w:vMerge/>
          </w:tcPr>
          <w:p w14:paraId="06E0C41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77CF92E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71446F8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697686C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031E1F5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35A547A4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</w:tcPr>
          <w:p w14:paraId="20BA1BCD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конк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ренции и качества услуг</w:t>
            </w:r>
          </w:p>
        </w:tc>
      </w:tr>
      <w:tr w:rsidR="001A3078" w:rsidRPr="007B2F20" w14:paraId="1D3CF137" w14:textId="77777777" w:rsidTr="001A3078">
        <w:trPr>
          <w:trHeight w:val="757"/>
          <w:jc w:val="center"/>
        </w:trPr>
        <w:tc>
          <w:tcPr>
            <w:tcW w:w="146" w:type="pct"/>
          </w:tcPr>
          <w:p w14:paraId="28E74DF3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4CA63CA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Оформление правоуст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навливающих документов на объекты теплоснабж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ния, постановка их на 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дастровый учет</w:t>
            </w:r>
          </w:p>
        </w:tc>
        <w:tc>
          <w:tcPr>
            <w:tcW w:w="706" w:type="pct"/>
            <w:vMerge w:val="restart"/>
          </w:tcPr>
          <w:p w14:paraId="20723A59" w14:textId="612C75DD" w:rsidR="007B2F20" w:rsidRPr="00AE1B83" w:rsidRDefault="001A3078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оформлены полностью. 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Заключено концессионное согл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</w:p>
        </w:tc>
        <w:tc>
          <w:tcPr>
            <w:tcW w:w="659" w:type="pct"/>
            <w:vMerge w:val="restart"/>
          </w:tcPr>
          <w:p w14:paraId="5935341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в сфере теплоснабжения (производство те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ловой энергии), пр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</w:p>
        </w:tc>
        <w:tc>
          <w:tcPr>
            <w:tcW w:w="360" w:type="pct"/>
            <w:vMerge w:val="restart"/>
          </w:tcPr>
          <w:p w14:paraId="691BFBF8" w14:textId="531867B2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0" w:type="pct"/>
            <w:vMerge w:val="restart"/>
          </w:tcPr>
          <w:p w14:paraId="719E39F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  <w:vMerge w:val="restart"/>
          </w:tcPr>
          <w:p w14:paraId="5E230057" w14:textId="11135E6B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14:paraId="7FD0DF3F" w14:textId="5CE4186C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  <w:vMerge w:val="restart"/>
          </w:tcPr>
          <w:p w14:paraId="0B11655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тектуры и строительства </w:t>
            </w:r>
          </w:p>
        </w:tc>
        <w:tc>
          <w:tcPr>
            <w:tcW w:w="603" w:type="pct"/>
            <w:vMerge w:val="restart"/>
          </w:tcPr>
          <w:p w14:paraId="356921A8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кол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чества организ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ций частной фо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мы собственности на рынке, повыш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качества услуг в сфере тепл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снабжения</w:t>
            </w:r>
          </w:p>
        </w:tc>
      </w:tr>
      <w:tr w:rsidR="001A3078" w:rsidRPr="007B2F20" w14:paraId="7A85E3EE" w14:textId="77777777" w:rsidTr="001A3078">
        <w:trPr>
          <w:trHeight w:val="757"/>
          <w:jc w:val="center"/>
        </w:trPr>
        <w:tc>
          <w:tcPr>
            <w:tcW w:w="146" w:type="pct"/>
          </w:tcPr>
          <w:p w14:paraId="45FE93E3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527C3B3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Передача муниципальных объектов теплоснабжения в собственность организ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циям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при условии установления инвестиц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онных и эксплуатацио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обязательств</w:t>
            </w:r>
          </w:p>
        </w:tc>
        <w:tc>
          <w:tcPr>
            <w:tcW w:w="706" w:type="pct"/>
            <w:vMerge/>
          </w:tcPr>
          <w:p w14:paraId="02F7847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6CA1B5E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12CB3AC1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1999C992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BD69625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324AD472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7BC4EC6E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4CAF420E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8" w:rsidRPr="007B2F20" w14:paraId="499F3948" w14:textId="77777777" w:rsidTr="001A3078">
        <w:trPr>
          <w:trHeight w:val="757"/>
          <w:jc w:val="center"/>
        </w:trPr>
        <w:tc>
          <w:tcPr>
            <w:tcW w:w="146" w:type="pct"/>
          </w:tcPr>
          <w:p w14:paraId="7D86214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1DB7E93B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Анализ состояния рынка поставок сжиженного газа в баллонах</w:t>
            </w:r>
          </w:p>
        </w:tc>
        <w:tc>
          <w:tcPr>
            <w:tcW w:w="706" w:type="pct"/>
          </w:tcPr>
          <w:p w14:paraId="337B2BB7" w14:textId="4CFB6472" w:rsidR="007B2F20" w:rsidRPr="00AE1B83" w:rsidRDefault="001A3078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078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 информ</w:t>
            </w:r>
            <w:r w:rsidRPr="001A307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A3078">
              <w:rPr>
                <w:rFonts w:ascii="Times New Roman" w:hAnsi="Times New Roman" w:cs="Times New Roman"/>
                <w:bCs/>
                <w:sz w:val="20"/>
                <w:szCs w:val="20"/>
              </w:rPr>
              <w:t>ционных материалов в сети «Интернет»</w:t>
            </w:r>
          </w:p>
        </w:tc>
        <w:tc>
          <w:tcPr>
            <w:tcW w:w="659" w:type="pct"/>
          </w:tcPr>
          <w:p w14:paraId="1748D690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в сфере поставки сжиженн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го газа в баллонах, процентов</w:t>
            </w:r>
          </w:p>
        </w:tc>
        <w:tc>
          <w:tcPr>
            <w:tcW w:w="360" w:type="pct"/>
          </w:tcPr>
          <w:p w14:paraId="605C05F0" w14:textId="56605213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</w:tcPr>
          <w:p w14:paraId="455CA7CC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</w:tcPr>
          <w:p w14:paraId="0E9E0E43" w14:textId="14C7FF9C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14:paraId="6095C8F3" w14:textId="3589CA9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6D4AFD59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</w:tcPr>
          <w:p w14:paraId="70E62ED3" w14:textId="77777777" w:rsidR="007B2F20" w:rsidRPr="00AE1B83" w:rsidRDefault="007B2F20" w:rsidP="007B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формирование данных о потре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лении сжиженного газа населением Алейского района</w:t>
            </w:r>
          </w:p>
        </w:tc>
      </w:tr>
      <w:tr w:rsidR="001A3078" w:rsidRPr="007B2F20" w14:paraId="1D32E7DA" w14:textId="77777777" w:rsidTr="001A3078">
        <w:trPr>
          <w:trHeight w:val="757"/>
          <w:jc w:val="center"/>
        </w:trPr>
        <w:tc>
          <w:tcPr>
            <w:tcW w:w="146" w:type="pct"/>
          </w:tcPr>
          <w:p w14:paraId="7C6556E5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56C383EE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ков рынка о земельных участках под жилищное строительство с целью увеличения объемов стр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ительства жилья</w:t>
            </w:r>
          </w:p>
        </w:tc>
        <w:tc>
          <w:tcPr>
            <w:tcW w:w="706" w:type="pct"/>
            <w:vMerge w:val="restart"/>
          </w:tcPr>
          <w:p w14:paraId="25A91B4D" w14:textId="6F42406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Размещение информ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ционных материалов в сети «Интернет»</w:t>
            </w:r>
          </w:p>
        </w:tc>
        <w:tc>
          <w:tcPr>
            <w:tcW w:w="659" w:type="pct"/>
            <w:vMerge w:val="restart"/>
          </w:tcPr>
          <w:p w14:paraId="63892AA5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в сфере жилищного стро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тельства, процентов</w:t>
            </w:r>
          </w:p>
        </w:tc>
        <w:tc>
          <w:tcPr>
            <w:tcW w:w="360" w:type="pct"/>
            <w:vMerge w:val="restart"/>
          </w:tcPr>
          <w:p w14:paraId="2035D555" w14:textId="54EFC8A1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14:paraId="4C45EC1B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  <w:vMerge w:val="restart"/>
          </w:tcPr>
          <w:p w14:paraId="317F9390" w14:textId="6A1DF7F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14:paraId="064CC74B" w14:textId="022DD72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  <w:vMerge w:val="restart"/>
          </w:tcPr>
          <w:p w14:paraId="4A8642C4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  <w:vMerge w:val="restart"/>
          </w:tcPr>
          <w:p w14:paraId="1BBC2DBA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улучшение состо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ния конкурентной среды на товарном рынке</w:t>
            </w:r>
          </w:p>
        </w:tc>
      </w:tr>
      <w:tr w:rsidR="001A3078" w:rsidRPr="007B2F20" w14:paraId="6F1F028E" w14:textId="77777777" w:rsidTr="001A3078">
        <w:trPr>
          <w:trHeight w:val="757"/>
          <w:jc w:val="center"/>
        </w:trPr>
        <w:tc>
          <w:tcPr>
            <w:tcW w:w="146" w:type="pct"/>
          </w:tcPr>
          <w:p w14:paraId="44F56146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14A1946C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Обеспечение территорий жилой застройки объект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ми инженерной и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портной инфраструктуры</w:t>
            </w:r>
          </w:p>
        </w:tc>
        <w:tc>
          <w:tcPr>
            <w:tcW w:w="706" w:type="pct"/>
            <w:vMerge/>
          </w:tcPr>
          <w:p w14:paraId="15C7AC7C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2830BBD5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70A2A95A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2B47CCC5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C876AC5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7217F329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1BD865CE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57C657B1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8" w:rsidRPr="007B2F20" w14:paraId="01C0D11E" w14:textId="77777777" w:rsidTr="001A3078">
        <w:trPr>
          <w:trHeight w:val="757"/>
          <w:jc w:val="center"/>
        </w:trPr>
        <w:tc>
          <w:tcPr>
            <w:tcW w:w="146" w:type="pct"/>
          </w:tcPr>
          <w:p w14:paraId="13B1F8F3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2DA84364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ственных (муниципал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ных) услуг по выдаче гр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достроительного плана земельного участка в эле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тронном виде</w:t>
            </w:r>
          </w:p>
        </w:tc>
        <w:tc>
          <w:tcPr>
            <w:tcW w:w="706" w:type="pct"/>
            <w:vMerge w:val="restart"/>
          </w:tcPr>
          <w:p w14:paraId="2B2E2740" w14:textId="3C69B7C8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ления соответству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щих услуг в электро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ном виде в сети «И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тернет»</w:t>
            </w:r>
          </w:p>
        </w:tc>
        <w:tc>
          <w:tcPr>
            <w:tcW w:w="659" w:type="pct"/>
            <w:vMerge w:val="restart"/>
          </w:tcPr>
          <w:p w14:paraId="24A48683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в сфере строительства объе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строительства, за исключением ж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лищного и дорожн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го строительства, процентов</w:t>
            </w:r>
          </w:p>
        </w:tc>
        <w:tc>
          <w:tcPr>
            <w:tcW w:w="360" w:type="pct"/>
            <w:vMerge w:val="restart"/>
          </w:tcPr>
          <w:p w14:paraId="56C91546" w14:textId="1AC0A698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  <w:vMerge w:val="restart"/>
          </w:tcPr>
          <w:p w14:paraId="7B41F56B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  <w:vMerge w:val="restart"/>
          </w:tcPr>
          <w:p w14:paraId="2C7105A7" w14:textId="0FA00DB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  <w:vMerge w:val="restart"/>
          </w:tcPr>
          <w:p w14:paraId="06F2B435" w14:textId="33A3B3E8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  <w:vMerge w:val="restart"/>
          </w:tcPr>
          <w:p w14:paraId="27F8153F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  <w:vMerge w:val="restart"/>
          </w:tcPr>
          <w:p w14:paraId="7353CA01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информированн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сти хозяйству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щих субъектов, осуществляющих деятельность на данном рынке;</w:t>
            </w:r>
          </w:p>
          <w:p w14:paraId="70798A70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снижение админ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стративной нагрузки при пр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хождении проц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дур в сфере стро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</w:tr>
      <w:tr w:rsidR="001A3078" w:rsidRPr="007B2F20" w14:paraId="53519FEA" w14:textId="77777777" w:rsidTr="001A3078">
        <w:trPr>
          <w:trHeight w:val="757"/>
          <w:jc w:val="center"/>
        </w:trPr>
        <w:tc>
          <w:tcPr>
            <w:tcW w:w="146" w:type="pct"/>
          </w:tcPr>
          <w:p w14:paraId="5D232B10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2937E360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ственных (муниципал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ных) услуг по выдаче ра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решений на строительство, а также разрешений на ввод в эксплуатацию в электронном виде</w:t>
            </w:r>
          </w:p>
        </w:tc>
        <w:tc>
          <w:tcPr>
            <w:tcW w:w="706" w:type="pct"/>
            <w:vMerge/>
          </w:tcPr>
          <w:p w14:paraId="601AAD32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vMerge/>
          </w:tcPr>
          <w:p w14:paraId="7A733067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3014C612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14:paraId="27FF74AF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E2C36BE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513CD058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14:paraId="25119816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14:paraId="2F044ED9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078" w:rsidRPr="007B2F20" w14:paraId="4E18C0B4" w14:textId="77777777" w:rsidTr="001A3078">
        <w:trPr>
          <w:trHeight w:val="757"/>
          <w:jc w:val="center"/>
        </w:trPr>
        <w:tc>
          <w:tcPr>
            <w:tcW w:w="146" w:type="pct"/>
          </w:tcPr>
          <w:p w14:paraId="7D70BFFA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6981D034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Содействие проведению региональными операт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рами торгов на заключ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договоров на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портирование твердых коммунальных отходов в соответствии с требован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ями, утвержденными </w:t>
            </w:r>
            <w:hyperlink r:id="rId10">
              <w:r w:rsidRPr="00AE1B8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Pr="00AE1B8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AE1B8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становлением</w:t>
              </w:r>
            </w:hyperlink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ции от 03.11.2016 N 1133 "Об утверждении Правил проведения торгов, по 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зультатам которых форм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руются цены на услуги по транспортированию тве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дых коммунальных отх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дов для регионального оператора";</w:t>
            </w:r>
          </w:p>
          <w:p w14:paraId="6530F9E8" w14:textId="7C51A7A1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проведение торгов, по 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зультатам которых форм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руются цены на услуги по транспортированию тве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дых коммунальных отх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дов для регионального оператора по обращению с твердыми коммунальными отходами, в форме эле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тронного аукциона в 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ношении всего объема твердых коммунальных отходов, образующихся в зоне (зонах) его деятел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разделение реги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нальным оператором на большее количество лотов услуги по транспортир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ванию твердых комм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нальных отходов в зоне его деятельности, а также увеличение объема услуг по транспортированию твердых коммунальных отходов, выделенных в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лоты, участн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ками аукционов по кот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рым могут быть только субъекты малого и средн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го предпринимательства;</w:t>
            </w:r>
            <w:proofErr w:type="gramEnd"/>
          </w:p>
          <w:p w14:paraId="22F02328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проведение круглых ст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лов, </w:t>
            </w:r>
            <w:proofErr w:type="spell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, консул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таций с действующими и потенциальными предпр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нимателями и коммерч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скими организациями</w:t>
            </w:r>
          </w:p>
        </w:tc>
        <w:tc>
          <w:tcPr>
            <w:tcW w:w="706" w:type="pct"/>
          </w:tcPr>
          <w:p w14:paraId="71818241" w14:textId="3C6CF5F7" w:rsidR="001A3078" w:rsidRPr="00AE1B83" w:rsidRDefault="00BB384F" w:rsidP="001A3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информ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012">
              <w:rPr>
                <w:rFonts w:ascii="Times New Roman" w:hAnsi="Times New Roman" w:cs="Times New Roman"/>
                <w:sz w:val="20"/>
                <w:szCs w:val="20"/>
              </w:rPr>
              <w:t>ционных материалов в сети «Интернет</w:t>
            </w:r>
          </w:p>
        </w:tc>
        <w:tc>
          <w:tcPr>
            <w:tcW w:w="659" w:type="pct"/>
          </w:tcPr>
          <w:p w14:paraId="1A58910D" w14:textId="77777777" w:rsidR="001A3078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в сфере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по сбору и транспортированию твердых коммунал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отходов, пр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центов; </w:t>
            </w:r>
          </w:p>
          <w:p w14:paraId="106EF7D2" w14:textId="51508DB1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повышение экон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мической эффекти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ности и конкурент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способности хозя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ствующих субъектов на рынке транспо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тирования твердых коммунальных отх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360" w:type="pct"/>
          </w:tcPr>
          <w:p w14:paraId="0C25DEAD" w14:textId="5A424635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0" w:type="pct"/>
          </w:tcPr>
          <w:p w14:paraId="23DC4CD8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</w:tcPr>
          <w:p w14:paraId="557CC492" w14:textId="54A17B8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14:paraId="2E8E0788" w14:textId="2A39A2BA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19C3B4DD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Отдел ЖКХ и транспорта комитета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</w:tcPr>
          <w:p w14:paraId="03FE4E91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 свобо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ном доступе 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формации о пров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дении регионал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ными операторами торгов на закл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чение договоров на транспортирование твердых комм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нальных отходов в соответствии с требованиями, утвержденными </w:t>
            </w:r>
            <w:hyperlink r:id="rId11">
              <w:r w:rsidRPr="00AE1B8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рации от 03.11.2016 N 1133 "Об утверждении Правил провед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ния торгов, по 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зультатам которых формируются цены на услуги по транспортиров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нию твердых ко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мунальных отх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дов для регионал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ного оператора"</w:t>
            </w:r>
            <w:proofErr w:type="gramEnd"/>
          </w:p>
        </w:tc>
      </w:tr>
      <w:tr w:rsidR="001A3078" w:rsidRPr="007B2F20" w14:paraId="671EFF55" w14:textId="77777777" w:rsidTr="001A3078">
        <w:trPr>
          <w:trHeight w:val="757"/>
          <w:jc w:val="center"/>
        </w:trPr>
        <w:tc>
          <w:tcPr>
            <w:tcW w:w="146" w:type="pct"/>
          </w:tcPr>
          <w:p w14:paraId="126F3EFF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50D0852B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зация данных реестра участников, осуществл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ющих деятельность на рынке ритуальных услуг, с указанием видов деятел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ности и контактной 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формации (адрес, телефон, электронная почта)</w:t>
            </w:r>
          </w:p>
        </w:tc>
        <w:tc>
          <w:tcPr>
            <w:tcW w:w="706" w:type="pct"/>
          </w:tcPr>
          <w:p w14:paraId="6A9195DD" w14:textId="08F308F4" w:rsidR="001A3078" w:rsidRPr="00534A24" w:rsidRDefault="00BB384F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34A24">
              <w:rPr>
                <w:rFonts w:ascii="Times New Roman" w:hAnsi="Times New Roman" w:cs="Times New Roman"/>
                <w:sz w:val="20"/>
                <w:szCs w:val="20"/>
              </w:rPr>
              <w:t>Размещение информ</w:t>
            </w:r>
            <w:r w:rsidRPr="00534A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4A24">
              <w:rPr>
                <w:rFonts w:ascii="Times New Roman" w:hAnsi="Times New Roman" w:cs="Times New Roman"/>
                <w:sz w:val="20"/>
                <w:szCs w:val="20"/>
              </w:rPr>
              <w:t>ционных матери</w:t>
            </w:r>
            <w:r w:rsidRPr="00534A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4A24">
              <w:rPr>
                <w:rFonts w:ascii="Times New Roman" w:hAnsi="Times New Roman" w:cs="Times New Roman"/>
                <w:sz w:val="20"/>
                <w:szCs w:val="20"/>
              </w:rPr>
              <w:t>лов в сети «Интернет</w:t>
            </w:r>
            <w:bookmarkEnd w:id="0"/>
          </w:p>
        </w:tc>
        <w:tc>
          <w:tcPr>
            <w:tcW w:w="659" w:type="pct"/>
          </w:tcPr>
          <w:p w14:paraId="6E2F37EB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 в сфере ритуальных услуг, процентов</w:t>
            </w:r>
          </w:p>
        </w:tc>
        <w:tc>
          <w:tcPr>
            <w:tcW w:w="360" w:type="pct"/>
          </w:tcPr>
          <w:p w14:paraId="24811D25" w14:textId="55BC22A6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</w:tcPr>
          <w:p w14:paraId="0847E824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</w:tcPr>
          <w:p w14:paraId="49A15C6F" w14:textId="798712F0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14:paraId="4E63E05F" w14:textId="13C55103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68A37261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</w:tcPr>
          <w:p w14:paraId="6167D338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развитие конк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ренции на рынке оказания ритуал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</w:tr>
      <w:tr w:rsidR="001A3078" w:rsidRPr="007B2F20" w14:paraId="2B16A20B" w14:textId="77777777" w:rsidTr="001A3078">
        <w:trPr>
          <w:trHeight w:val="757"/>
          <w:jc w:val="center"/>
        </w:trPr>
        <w:tc>
          <w:tcPr>
            <w:tcW w:w="146" w:type="pct"/>
          </w:tcPr>
          <w:p w14:paraId="2B36409D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14:paraId="5B598D9E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час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ного сектора по перевозке пассажиров автотранспо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том по межмуниципал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ным маршрутам и благ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приятных условий субъе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там транспортной инфр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структуры, включая фо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мирование сети регуля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маршрутов с учетом предложений, изложенных в обращениях негосуда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ственных перевозчиков;</w:t>
            </w:r>
          </w:p>
          <w:p w14:paraId="159AC449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критериях конкурсного отбора перевозчиков в открытом доступе в сети "Интернет" с целью обе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 xml:space="preserve">печения максимальной доступности информации и прозрачности условий 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на рынке пасс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жирских перевозок назе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ным транспортом;</w:t>
            </w:r>
          </w:p>
          <w:p w14:paraId="6D68EED9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формирование сети рег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лярных маршрутов с уч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том предложений, изл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женных в обращениях 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государственных перево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чиков;</w:t>
            </w:r>
          </w:p>
          <w:p w14:paraId="6D9FDBDD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мониторинг пассажироп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тока и потребностей рег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она в корректировке сущ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ствующей маршрутной сети и создание новых маршрутов;</w:t>
            </w:r>
          </w:p>
          <w:p w14:paraId="28C28FD1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планирование регулярных перевозок с учетом пол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ченной информации по результатам мониторинга</w:t>
            </w:r>
          </w:p>
        </w:tc>
        <w:tc>
          <w:tcPr>
            <w:tcW w:w="706" w:type="pct"/>
          </w:tcPr>
          <w:p w14:paraId="0A5E74C6" w14:textId="77777777" w:rsidR="001A3078" w:rsidRDefault="00BB384F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84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района осуществляют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тельность 2 перево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чика: ООО «Родник», ИП ГКФХ Андр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 Д. А.</w:t>
            </w:r>
          </w:p>
          <w:p w14:paraId="4B14195F" w14:textId="05C9D9AF" w:rsidR="00BB384F" w:rsidRPr="00AE1B83" w:rsidRDefault="00BB384F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района действуют 7 межм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ниципальных маршр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тов.</w:t>
            </w:r>
          </w:p>
        </w:tc>
        <w:tc>
          <w:tcPr>
            <w:tcW w:w="659" w:type="pct"/>
          </w:tcPr>
          <w:p w14:paraId="5D1E202F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ров автомобильным транспортом по межмуниципальным маршрутам регуля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 перевозок, ок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занных (выполне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ных) организациями частной формы со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ственности, проце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60" w:type="pct"/>
          </w:tcPr>
          <w:p w14:paraId="67C5A0A2" w14:textId="1147B13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60" w:type="pct"/>
          </w:tcPr>
          <w:p w14:paraId="23B066D5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11" w:type="pct"/>
          </w:tcPr>
          <w:p w14:paraId="4165B625" w14:textId="53D81E1A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60" w:type="pct"/>
          </w:tcPr>
          <w:p w14:paraId="76098F31" w14:textId="13C1A328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B2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района</w:t>
            </w:r>
          </w:p>
        </w:tc>
        <w:tc>
          <w:tcPr>
            <w:tcW w:w="479" w:type="pct"/>
          </w:tcPr>
          <w:p w14:paraId="67C73E43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Отдел ЖКХ и транспорта комитета ЖКХ, тран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порта, арх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тектуры и строительства</w:t>
            </w:r>
          </w:p>
        </w:tc>
        <w:tc>
          <w:tcPr>
            <w:tcW w:w="603" w:type="pct"/>
          </w:tcPr>
          <w:p w14:paraId="61AC8D18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увеличение кол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чества перевозч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ков негосуда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ственных форм собственности;</w:t>
            </w:r>
          </w:p>
          <w:p w14:paraId="33ADBC1E" w14:textId="77777777" w:rsidR="001A3078" w:rsidRPr="00AE1B83" w:rsidRDefault="001A3078" w:rsidP="001A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наличие сети рег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1B83">
              <w:rPr>
                <w:rFonts w:ascii="Times New Roman" w:hAnsi="Times New Roman" w:cs="Times New Roman"/>
                <w:sz w:val="20"/>
                <w:szCs w:val="20"/>
              </w:rPr>
              <w:t>лярных маршрутов</w:t>
            </w:r>
          </w:p>
        </w:tc>
      </w:tr>
    </w:tbl>
    <w:p w14:paraId="2A070A0F" w14:textId="77777777" w:rsidR="00AE1B83" w:rsidRPr="00AE1B83" w:rsidRDefault="00AE1B83" w:rsidP="00AE1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B83" w:rsidRPr="00AE1B83" w:rsidSect="00F9360A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3E010" w14:textId="77777777" w:rsidR="00716E28" w:rsidRDefault="00716E28" w:rsidP="00AE1B83">
      <w:pPr>
        <w:spacing w:after="0" w:line="240" w:lineRule="auto"/>
      </w:pPr>
      <w:r>
        <w:separator/>
      </w:r>
    </w:p>
  </w:endnote>
  <w:endnote w:type="continuationSeparator" w:id="0">
    <w:p w14:paraId="31764677" w14:textId="77777777" w:rsidR="00716E28" w:rsidRDefault="00716E28" w:rsidP="00AE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FFF53" w14:textId="77777777" w:rsidR="00716E28" w:rsidRDefault="00716E28" w:rsidP="00AE1B83">
      <w:pPr>
        <w:spacing w:after="0" w:line="240" w:lineRule="auto"/>
      </w:pPr>
      <w:r>
        <w:separator/>
      </w:r>
    </w:p>
  </w:footnote>
  <w:footnote w:type="continuationSeparator" w:id="0">
    <w:p w14:paraId="2D64BD19" w14:textId="77777777" w:rsidR="00716E28" w:rsidRDefault="00716E28" w:rsidP="00AE1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E8"/>
    <w:rsid w:val="000365E8"/>
    <w:rsid w:val="00164F82"/>
    <w:rsid w:val="001A3078"/>
    <w:rsid w:val="001B15B0"/>
    <w:rsid w:val="001D5225"/>
    <w:rsid w:val="00267D80"/>
    <w:rsid w:val="003C19EC"/>
    <w:rsid w:val="004C43BE"/>
    <w:rsid w:val="004F1806"/>
    <w:rsid w:val="00534A24"/>
    <w:rsid w:val="006C7D81"/>
    <w:rsid w:val="00702E9F"/>
    <w:rsid w:val="00716E28"/>
    <w:rsid w:val="007B2F20"/>
    <w:rsid w:val="00895576"/>
    <w:rsid w:val="00927E33"/>
    <w:rsid w:val="00AE1B83"/>
    <w:rsid w:val="00B11776"/>
    <w:rsid w:val="00BB384F"/>
    <w:rsid w:val="00C451BA"/>
    <w:rsid w:val="00E35527"/>
    <w:rsid w:val="00F02C6F"/>
    <w:rsid w:val="00F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9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17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table" w:styleId="a3">
    <w:name w:val="Table Grid"/>
    <w:basedOn w:val="a1"/>
    <w:uiPriority w:val="59"/>
    <w:rsid w:val="00AE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B83"/>
  </w:style>
  <w:style w:type="paragraph" w:styleId="a6">
    <w:name w:val="footer"/>
    <w:basedOn w:val="a"/>
    <w:link w:val="a7"/>
    <w:uiPriority w:val="99"/>
    <w:unhideWhenUsed/>
    <w:rsid w:val="00AE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B83"/>
  </w:style>
  <w:style w:type="character" w:styleId="a8">
    <w:name w:val="Hyperlink"/>
    <w:basedOn w:val="a0"/>
    <w:uiPriority w:val="99"/>
    <w:unhideWhenUsed/>
    <w:rsid w:val="00AE1B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B83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locked/>
    <w:rsid w:val="00702E9F"/>
    <w:rPr>
      <w:rFonts w:ascii="Times New Roman" w:eastAsiaTheme="minorEastAsia" w:hAnsi="Times New Roman" w:cs="Times New Roman"/>
      <w:sz w:val="28"/>
      <w:lang w:eastAsia="ru-RU"/>
    </w:rPr>
  </w:style>
  <w:style w:type="character" w:styleId="a9">
    <w:name w:val="Strong"/>
    <w:basedOn w:val="a0"/>
    <w:uiPriority w:val="22"/>
    <w:qFormat/>
    <w:rsid w:val="00702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17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table" w:styleId="a3">
    <w:name w:val="Table Grid"/>
    <w:basedOn w:val="a1"/>
    <w:uiPriority w:val="59"/>
    <w:rsid w:val="00AE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B83"/>
  </w:style>
  <w:style w:type="paragraph" w:styleId="a6">
    <w:name w:val="footer"/>
    <w:basedOn w:val="a"/>
    <w:link w:val="a7"/>
    <w:uiPriority w:val="99"/>
    <w:unhideWhenUsed/>
    <w:rsid w:val="00AE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B83"/>
  </w:style>
  <w:style w:type="character" w:styleId="a8">
    <w:name w:val="Hyperlink"/>
    <w:basedOn w:val="a0"/>
    <w:uiPriority w:val="99"/>
    <w:unhideWhenUsed/>
    <w:rsid w:val="00AE1B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B83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locked/>
    <w:rsid w:val="00702E9F"/>
    <w:rPr>
      <w:rFonts w:ascii="Times New Roman" w:eastAsiaTheme="minorEastAsia" w:hAnsi="Times New Roman" w:cs="Times New Roman"/>
      <w:sz w:val="28"/>
      <w:lang w:eastAsia="ru-RU"/>
    </w:rPr>
  </w:style>
  <w:style w:type="character" w:styleId="a9">
    <w:name w:val="Strong"/>
    <w:basedOn w:val="a0"/>
    <w:uiPriority w:val="22"/>
    <w:qFormat/>
    <w:rsid w:val="00702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dm.ru/pages/2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adm.ru/pages/59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96C98DA142BCA17012B13C3CBA8B954C2234B20F3C37AB60365B9616824D770EEC957FE82237E0FBED4C3A35iCZC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96C98DA142BCA17012B13C3CBA8B954C2234B20F3C37AB60365B9616824D770EEC957FE82237E0FBED4C3A35iC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adm.ru/pages/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User_4</cp:lastModifiedBy>
  <cp:revision>3</cp:revision>
  <dcterms:created xsi:type="dcterms:W3CDTF">2024-12-28T03:31:00Z</dcterms:created>
  <dcterms:modified xsi:type="dcterms:W3CDTF">2025-01-22T05:03:00Z</dcterms:modified>
</cp:coreProperties>
</file>